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B90">
      <w:r>
        <w:rPr>
          <w:noProof/>
        </w:rPr>
        <w:drawing>
          <wp:inline distT="0" distB="0" distL="0" distR="0">
            <wp:extent cx="5934075" cy="8143875"/>
            <wp:effectExtent l="19050" t="0" r="9525" b="0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90" w:rsidRDefault="00990B90"/>
    <w:p w:rsidR="00990B90" w:rsidRPr="00990B90" w:rsidRDefault="00990B90" w:rsidP="00990B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ПОЯСНИТЛЬНАЯ ЗАПИСКА</w:t>
      </w:r>
    </w:p>
    <w:p w:rsidR="00990B90" w:rsidRPr="00990B90" w:rsidRDefault="00990B90" w:rsidP="00990B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Цель программы «Шаги в профессию» - 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Задачи: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Активизировать внутренние психологические ресурсы обучающихся для формирования умения составлять и корректировать свою профессиональную перспективу;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Осознать значимость правильного выбора будущей профессии;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Развивать навыки конструктивного взаимодействия при выборе будущей профессии;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Уметь оценивать свое решение о профессиональном выборе.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Занятия проводятся в форме групповой работы с элементами тренинга. При проведении занятий курса используются следующие формы и методы работы: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 профориентационные игры;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 игровые профессиональные упражнения;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 самоописание;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 групповая дискуссия;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 использование конструктивной обратной связи.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 основе программы курса внеурочной деятельности «Шаги в профессию» лежат ценностные ориентиры, достижение которых определяется воспитательными результатами.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Формы занятий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I. Личностные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потребность повышать свой культурный уровень, само реализовываться в разных видах деятельности;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бережного отношения к традициям своей семьи, школы;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об этике и эстетике повседневной жизни человека в обществе;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 принятых в обществе нормах поведения и общения;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об основах здорового образа жизни;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развитие ценностного отношения подростков к труду.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II. Метапредметные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Регулятивные: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Познавательные: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критическое оценивание содержания и форм современных текстов;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Коммуникативные: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умение организовать сотрудничество и совместную деятельность с педагогом и сверстниками в клубе;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умение находить общее решение и разрешать конфликты;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 правилах конструктивной групповой работы;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опыт публичного выступления;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соблюдение норм публичной речи в процессе выступления.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III. Предметные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Обучающиеся научатся: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использовать полученные знания и навыки по подготовке и проведению социально- значимых мероприятий.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приобретение опыта исследовательской деятельности;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Обучающиеся получат возможность научиться: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993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Helvetica" w:eastAsia="Times New Roman" w:hAnsi="Helvetica" w:cs="Helvetica"/>
          <w:color w:val="3F3F3F"/>
          <w:sz w:val="24"/>
          <w:szCs w:val="24"/>
        </w:rPr>
        <w:t>участвовать в исследовательских работах;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993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Helvetica" w:eastAsia="Times New Roman" w:hAnsi="Helvetica" w:cs="Helvetica"/>
          <w:color w:val="3F3F3F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993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Helvetica" w:eastAsia="Times New Roman" w:hAnsi="Helvetica" w:cs="Helvetica"/>
          <w:color w:val="3F3F3F"/>
          <w:sz w:val="24"/>
          <w:szCs w:val="24"/>
        </w:rPr>
        <w:t>иметь представление о правилах проведения исследования;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993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Helvetica" w:eastAsia="Times New Roman" w:hAnsi="Helvetica" w:cs="Helvetica"/>
          <w:color w:val="3F3F3F"/>
          <w:sz w:val="24"/>
          <w:szCs w:val="24"/>
        </w:rPr>
        <w:t>получение первоначального опыта самореализации.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С целью осуществления более эффективного управления профессиональным развитием учащихся профориентационные задачи ставятся с учетом их условного деления на три уровня: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Когнитивный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Мотивационно-ценностный (формирование у школьников всей гаммы смыслообразующих и профессиональных ценностей);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Деятельностно-практический (составление, уточнение, коррекция и реализация профессиональных планов).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Первый уровень результатов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Второй уровень результатов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просоциальной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Третий уровень результатов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С переходом от одного уровня результатов к другому существенно возрастают эффекты профориентации: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 на первом уровне профориентация приближена к обучению, при этом предметом профориентирования как учения являются не столько теоретические знания, сколько знания о ценностях;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 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• 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Формы достижения результатов: познавательные беседы, инструктажи, социальные пробы, поездки, экскурсии,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Формы контроля: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1. Рефлексия по каждому занятию в форме вербального проговаривания, письменного выражения своего отношения к теме.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2. По итогам курса обучающиеся выполняют самостоятельную работу – творческое эссе по теме: «Кем и каким я хочу стать»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3. В рамках курса предполагается организовать проектную деятельность учащихся.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Итоги учёта знаний, умений, овладения обучающимися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Контроль и оценка результатов освоения программы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УЧЕБНО-ТЕМАТИЧЕСКИЙ ПЛАН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5480"/>
        <w:gridCol w:w="1110"/>
        <w:gridCol w:w="1268"/>
        <w:gridCol w:w="1190"/>
      </w:tblGrid>
      <w:tr w:rsidR="00990B90" w:rsidRPr="00990B90" w:rsidTr="00990B90">
        <w:trPr>
          <w:trHeight w:val="1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165" w:lineRule="atLeast"/>
              <w:ind w:left="2022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   Количество часов</w:t>
            </w:r>
          </w:p>
        </w:tc>
      </w:tr>
      <w:tr w:rsidR="00990B90" w:rsidRPr="00990B90" w:rsidTr="00990B90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Трудом славен человек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Учеба – твой главный труд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Человеческие возможности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Способности к запоминанию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Способность быть внимательным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Волевые качества личности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«Узнаю, думаю, выбираю»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Беседы о конкретных профессиях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Классификация профессий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Профессия и современность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Дороги, которые мы выбираем. Профессии твоих родителей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 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 работы хороши, выбирай на вкус. Кем ты хочешь стать?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 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Интересы и выбор профессии. «Кто я и что я думаю о себе?»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 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 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Здоровье и выбор профессии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Дело твоей жизни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Профессиональный тип личности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Ошибки при выборе профессии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Человек среди людей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Такая изменчивая мода, или вечная истина: «По одежке встречают, по уму провожают»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Природа – это наши корни, начало нашей жизни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0,5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Творческий урок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Практическая работа. Итоговое занятие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ч.</w:t>
            </w:r>
          </w:p>
        </w:tc>
      </w:tr>
      <w:tr w:rsidR="00990B90" w:rsidRPr="00990B90" w:rsidTr="00990B90">
        <w:trPr>
          <w:trHeight w:val="271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990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34 часа</w:t>
            </w:r>
          </w:p>
        </w:tc>
      </w:tr>
    </w:tbl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СОДЕРЖАНИЕ РАЗДЕЛОВ ПРОГРАММЫ</w:t>
      </w:r>
    </w:p>
    <w:p w:rsidR="00990B90" w:rsidRPr="00990B90" w:rsidRDefault="00990B90" w:rsidP="00990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1. Трудом славен человек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2. Учеба - твой главный труд.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Пресс-конференция с учителями школы по теме, составление учащимися в группах памятки «Успешное обучение- мое стремление!».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3. Человеческие возможности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4. Способности к запоминанию (2 часа).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5. Способность быть внимательным (2 часа).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6. Волевые качества личности (2 часа).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7. «Узнаю, думаю, выбираю» (2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Практическая работа с методиками: «Визитка», «Тебе подходят профессии», «Узнай профессию».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8. Беседы о конкретных профессиях (2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9. Классификация профессий (1 час).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Парная работа учащихся по классификации профессий по предмету труда, по целям труда, по орудиям труда, по условиям труда. Знакомство с профессиограммами.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10. Профессия и современность (2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11. Дороги, которые мы выбираем. Профессии твоих родителей (3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Встречи с родителями. Интервью. Анкетирование.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12. Все работы хороши, выбирай на вкус. Кем ты хочешь стать? 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Проведение викторины на знание и выбор профессии. Составление синквейна учащимися на тему «Моя любимая профессия».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13. Интересы и выбор профессии. «Кто я и что я думаю о себе?» (2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Что такое интерес? Составление и заполнение карты интересов.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 Знакомство с новыми профессиями, такими как: промоутер, имиджмейкер, девелопер, мерчендайзер. Исследовательская работа учащихся по нахождению этих профессий в дополнительных источниках информации.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14. Темперамент и выбор профессии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От чего зависит выбор профессии? Что такое темперамент? Опросник.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15.Здоровье и выбор профессии (2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16. Дело твоей жизни (2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«Я – это…». Выявление самооценки и планирование своего будущего.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«Выбираю»: выбор профессии на основе самооценки и анализа составляющих «хочу» - «могу» - «надо». Подготовка учащимися проекта «Я бы смог стать…».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17. Профессиональный тип личности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Определение своего профессионального типа личности. Тест «Профессиональный тип личности».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18. Ошибки при выборе профессии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19. Человек среди людей (2 часа)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20. Такая изменчивая мода, или вечная истина: «По одежке встречают, по уму провожают» (2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Проведение игры-викторины «По одежке встречают, по уму провожают».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21. Природа – это наши корни, начало нашей жизни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Проведение экологической игры совместно с учителем по биологии.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22. Творческий урок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Тема 23. Практическая работа. Итоговое занятие (1 час)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Презентация проектов учащимися «Моя будущая профессия». Дискуссия между ними по разработанным проектам. Подведение итогов работы за год.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000000"/>
          <w:spacing w:val="-1"/>
          <w:sz w:val="24"/>
          <w:szCs w:val="24"/>
        </w:rPr>
        <w:t>МЕТОДИЧЕСКОЕ ОБЕСПЕЧЕНИЕ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Требования к материально-техническим условиям реализации программы профессиональной ориентации школьников на ступени основного общего образования определяются необходимостью наличия на уроках: компьютера, мультимедийного проектора, материала к методикам, комплектов презентаций к некоторым урокам, словарей и справочников.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000000"/>
          <w:spacing w:val="-1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000000"/>
          <w:spacing w:val="-1"/>
          <w:sz w:val="24"/>
          <w:szCs w:val="24"/>
        </w:rPr>
        <w:t>ВОСПИТАТЕЛЬНАЯ РАБОТА С ДЕТЬМИ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 Воспитательная работа с детьми предусматривает использование ресурсов Интерактивной цифровой платформы для профориентации школьников «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ПроеКТОриЯ».</w:t>
      </w: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На портале можно попробовать себя в роли инженера-разработчика, создать проектную команду единомышленников из числа школьников по всей России, предложить нестандартный подход к решению задачи.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   Главными помощниками при решении проектных задач выступают представители вузов – тьюторы портала. Ведущие ученые, педагоги и преподаватели станут наставниками и консультантами для каждой проектной команды, сопровождая ее на всех этапах решения задач. На финальном этапе решения задачи представители бизнеса оценят предложенные проекты и вынесут своё экспертное заключение, которое войдет в личное портфолио школьника.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 xml:space="preserve">На портале «ПроеКТОрия» совместно с Министерством образования и науки в режиме онлайн стартовали Всероссийские открытые уроки по профориентации.   Согласно Указу Президента Российской Федерации от 07.05.2018 «О национальных целях и стратегических задачах развития Российской Федерации на период до 2024 года», а также задачам национального проекта «Образование», направленного, в том числе на самоопределение и профессиональную </w:t>
      </w: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lastRenderedPageBreak/>
        <w:t>ориентацию обучающихся, Министерство просвещения Российской Федерации проводит работу по профессиональной навигации обучающихся посредством проведения всероссийских открытых уроков.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Все материалы прошедших уроков – информация об отрасли, профессиях, проектах и работодателях – доступны на тематических отраслевых страницах: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“Что ты знаешь о еде?”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“Дом, в котором хочется жить”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“Нереальная реальность”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“Спасти жизнь человека”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“Искусственный интеллект: помощник или конкурент?” 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“Космос далекий и близкий” 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"Как превратить идею в деньги?"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"Доброе дело, перевернувшее мою жизнь". Записи этих и других Всероссийских открытых уроков портала запланированы для показа воспитанникам в рамках кружка «Шаги в профессию».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191919"/>
          <w:sz w:val="27"/>
          <w:szCs w:val="27"/>
        </w:rPr>
        <w:t>  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Особое внимание в воспитательной работе с детьми уделяется технологиям культуры. Воспитанники знакомятся с профессиями в сфере «Технологии культуры»: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90B90" w:rsidRPr="00990B90" w:rsidTr="00990B9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Источниковед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Археолог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Архивист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Библиотекарь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Музеевед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Поисковик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Палеограф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Исторический консультант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Специалист по публичной истории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Краевед</w:t>
            </w:r>
          </w:p>
          <w:p w:rsidR="00990B90" w:rsidRPr="00990B90" w:rsidRDefault="00990B90" w:rsidP="00990B90">
            <w:pPr>
              <w:spacing w:after="0" w:line="240" w:lineRule="auto"/>
              <w:ind w:left="567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7"/>
                <w:szCs w:val="27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Экскурсовод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Реставратор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Специалист по оцифровке фондов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Исследователь в сфере DigitalHumanities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Разработчик ПО для гуманитарных исследований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Специалист по историографии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Специалист по 3D-моделированию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Реконструктор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Специалист по охране историко-культурного наследия</w:t>
            </w:r>
          </w:p>
          <w:p w:rsidR="00990B90" w:rsidRPr="00990B90" w:rsidRDefault="00990B90" w:rsidP="00990B90">
            <w:pPr>
              <w:spacing w:after="0" w:line="240" w:lineRule="auto"/>
              <w:ind w:left="460" w:hanging="36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990B90">
              <w:rPr>
                <w:rFonts w:ascii="Symbol" w:eastAsia="Times New Roman" w:hAnsi="Symbol" w:cs="Helvetica"/>
                <w:color w:val="3F3F3F"/>
                <w:sz w:val="24"/>
                <w:szCs w:val="24"/>
              </w:rPr>
              <w:t></w:t>
            </w:r>
            <w:r w:rsidRPr="00990B9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   </w:t>
            </w:r>
            <w:r w:rsidRPr="00990B9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990B90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Историк</w:t>
            </w:r>
          </w:p>
        </w:tc>
      </w:tr>
    </w:tbl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3F3F3F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3F3F3F"/>
          <w:sz w:val="24"/>
          <w:szCs w:val="24"/>
        </w:rPr>
        <w:t>РАБОТА С РОДИТЕЛЯМИ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создать необходимые условия для развития ответственных взаимоотношений с семьями воспитанников, обеспечивающих целостное развитие личности ребенка, повысить компетентность родителей в области воспитания детей.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1.Распространять педагогические знания среди родителей;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2.Оказать практическую помощь в воспитании детей;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3.Способствовать формированию доверительного отношения родителей к педагогу дополнительного образования. Адекватно реагировать на рекомендации педагога, прилагать усилия для налаживания партнёрских отношений с педагогом по решению задач по воспитанию и развитию ребёнка.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Темы родительских собраний на учебный год: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Сентябрь.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«Как воспитать ребёнка успешным»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Декабрь.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на тему: «Любая высота нам по плечу»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Февраль.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«Воспитаем патриота своей страны»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Май.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родительское собрание</w:t>
      </w:r>
    </w:p>
    <w:p w:rsidR="00990B90" w:rsidRPr="00990B90" w:rsidRDefault="00990B90" w:rsidP="00990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990B90" w:rsidRPr="00990B90" w:rsidRDefault="00990B90" w:rsidP="00990B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Список литературы: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9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Helvetica" w:eastAsia="Times New Roman" w:hAnsi="Helvetica" w:cs="Helvetica"/>
          <w:b/>
          <w:bCs/>
          <w:color w:val="3F3F3F"/>
          <w:sz w:val="24"/>
          <w:szCs w:val="24"/>
        </w:rPr>
        <w:t>Для педагога: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Возрастная психология: детство, отрочество, юность </w:t>
      </w:r>
      <w:r w:rsidRPr="00990B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 под ред. В.С. Мухина, А.А. Хвостов. – М.: Изд. Центр «Академия», 2007.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Зеер, Э.Ф. Психология профессий</w:t>
      </w:r>
      <w:r w:rsidRPr="00990B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– М.: Изд-во «Академия», 2003. 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Климов, Е.А. Введение в психологию труда. – М.: Изд. Центр «Академия», 2004.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4.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Пряжников, Н.С. Профессиональное и личностное самоопределение</w:t>
      </w:r>
      <w:r w:rsidRPr="00990B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 –  М.: Изд-во: «Институт практической психологии», 2000.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5.</w:t>
      </w:r>
      <w:r w:rsidRPr="00990B9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3F3F3F"/>
          <w:sz w:val="24"/>
          <w:szCs w:val="24"/>
        </w:rPr>
        <w:t>Резапкина, Г.В. Я и моя профессия. – М.: Изд-во «Генезис», 2000.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990B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Технология. 9 класс: материалы к урокам раздела «Профессиональное самоопределение» по программе В.Д. Симоненко / авт.- сост. А.Н. Бобровская.- Волгоград: Учитель, 2009.- 171с.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990B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Сост: Л.Н. Бобровская , О.Н. Просихина, Е.А. Сапрыкина; под ред. Н.Н. Рождественской. 2-е изд.; доп.- М.: Глобус, 2008.  -101 с. – (Профессиональная школа).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</w:p>
    <w:p w:rsidR="00990B90" w:rsidRPr="00990B90" w:rsidRDefault="00990B90" w:rsidP="00990B9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990B9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990B9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990B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Учебники:  Твоя профессиональная карьера: учеб. Для 8-9 кл. общеобразоват. учреждений М.С.   Гуткин, П.С. Лернер, Г.Ф Михальченко и др. под ред. С.Н. Чистяковой, Т.И. Шалавиной – 3 – е изд. – М.: Просвещение, 2008 – 159 с.</w:t>
      </w:r>
    </w:p>
    <w:p w:rsidR="00990B90" w:rsidRDefault="00990B90"/>
    <w:sectPr w:rsidR="0099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0B90"/>
    <w:rsid w:val="0099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2021-08-17T06:19:00Z</dcterms:created>
  <dcterms:modified xsi:type="dcterms:W3CDTF">2021-08-17T06:19:00Z</dcterms:modified>
</cp:coreProperties>
</file>